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73C" w:rsidRPr="00A22EFA" w:rsidRDefault="0001473C" w:rsidP="0001473C">
      <w:pPr>
        <w:pStyle w:val="Epgrafe"/>
        <w:keepNext/>
        <w:spacing w:line="276" w:lineRule="auto"/>
        <w:jc w:val="center"/>
        <w:rPr>
          <w:rFonts w:cs="Arial"/>
          <w:b w:val="0"/>
          <w:color w:val="6E6E7C"/>
          <w:sz w:val="20"/>
          <w:szCs w:val="20"/>
        </w:rPr>
      </w:pPr>
      <w:bookmarkStart w:id="0" w:name="_Toc7095970"/>
      <w:bookmarkStart w:id="1" w:name="_Toc98856515"/>
      <w:r w:rsidRPr="00A22EFA">
        <w:rPr>
          <w:rFonts w:cs="Arial"/>
          <w:b w:val="0"/>
          <w:color w:val="6E6E7C"/>
          <w:sz w:val="20"/>
          <w:szCs w:val="20"/>
        </w:rPr>
        <w:t xml:space="preserve">Plan de Tabulados de la </w:t>
      </w:r>
      <w:bookmarkEnd w:id="0"/>
      <w:r>
        <w:rPr>
          <w:rFonts w:cs="Arial"/>
          <w:b w:val="0"/>
          <w:color w:val="6E6E7C"/>
          <w:sz w:val="20"/>
          <w:szCs w:val="20"/>
        </w:rPr>
        <w:t xml:space="preserve"> Encuesta Estructural Empresarial- </w:t>
      </w:r>
      <w:r w:rsidR="00DC4CC3">
        <w:rPr>
          <w:rFonts w:cs="Arial"/>
          <w:b w:val="0"/>
          <w:color w:val="6E6E7C"/>
          <w:sz w:val="20"/>
          <w:szCs w:val="20"/>
        </w:rPr>
        <w:t>ENESEM 2021</w:t>
      </w:r>
      <w:r w:rsidRPr="00A22EFA">
        <w:rPr>
          <w:rFonts w:cs="Arial"/>
          <w:b w:val="0"/>
          <w:color w:val="6E6E7C"/>
          <w:sz w:val="20"/>
          <w:szCs w:val="20"/>
        </w:rPr>
        <w:t>.</w:t>
      </w:r>
      <w:bookmarkEnd w:id="1"/>
    </w:p>
    <w:tbl>
      <w:tblPr>
        <w:tblW w:w="10112" w:type="dxa"/>
        <w:tblInd w:w="-709" w:type="dxa"/>
        <w:tblBorders>
          <w:top w:val="single" w:sz="4" w:space="0" w:color="2E507A"/>
          <w:bottom w:val="single" w:sz="4" w:space="0" w:color="2E507A"/>
          <w:insideH w:val="single" w:sz="4" w:space="0" w:color="2E507A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281"/>
        <w:gridCol w:w="1966"/>
        <w:gridCol w:w="702"/>
        <w:gridCol w:w="1405"/>
        <w:gridCol w:w="1825"/>
        <w:gridCol w:w="1055"/>
        <w:gridCol w:w="350"/>
        <w:gridCol w:w="983"/>
        <w:gridCol w:w="843"/>
      </w:tblGrid>
      <w:tr w:rsidR="0001473C" w:rsidRPr="00552A0D" w:rsidTr="003D731A">
        <w:trPr>
          <w:trHeight w:val="801"/>
        </w:trPr>
        <w:tc>
          <w:tcPr>
            <w:tcW w:w="702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No. De Cuadro</w:t>
            </w:r>
          </w:p>
        </w:tc>
        <w:tc>
          <w:tcPr>
            <w:tcW w:w="2247" w:type="dxa"/>
            <w:gridSpan w:val="2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Título de Cuadro</w:t>
            </w:r>
          </w:p>
        </w:tc>
        <w:tc>
          <w:tcPr>
            <w:tcW w:w="702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Variables de Filas</w:t>
            </w:r>
          </w:p>
        </w:tc>
        <w:tc>
          <w:tcPr>
            <w:tcW w:w="1405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Categoría de la variable fila</w:t>
            </w:r>
          </w:p>
        </w:tc>
        <w:tc>
          <w:tcPr>
            <w:tcW w:w="1825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ind w:left="-211" w:firstLine="71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Variable de Columnas</w:t>
            </w:r>
          </w:p>
        </w:tc>
        <w:tc>
          <w:tcPr>
            <w:tcW w:w="1405" w:type="dxa"/>
            <w:gridSpan w:val="2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Categoría de la variable columna</w:t>
            </w:r>
          </w:p>
        </w:tc>
        <w:tc>
          <w:tcPr>
            <w:tcW w:w="983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Población objetivo</w:t>
            </w:r>
          </w:p>
        </w:tc>
        <w:tc>
          <w:tcPr>
            <w:tcW w:w="843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Lectura de la tabla</w:t>
            </w:r>
          </w:p>
        </w:tc>
      </w:tr>
      <w:tr w:rsidR="0001473C" w:rsidRPr="00E972A7" w:rsidTr="003D731A">
        <w:trPr>
          <w:trHeight w:val="2205"/>
        </w:trPr>
        <w:tc>
          <w:tcPr>
            <w:tcW w:w="983" w:type="dxa"/>
            <w:gridSpan w:val="2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2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 B</w:t>
            </w:r>
          </w:p>
        </w:tc>
        <w:tc>
          <w:tcPr>
            <w:tcW w:w="1966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Número de empresas, personal ocupado, remuneraciones, producción total, consumo intermedio, valor agregado, depreciaciones y formación bruta de capital, según secciones (CIIU 4ta. Rev.), de actividad económica,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Tamaño de Empresa</w:t>
            </w:r>
          </w:p>
        </w:tc>
        <w:tc>
          <w:tcPr>
            <w:tcW w:w="1405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  <w:hideMark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Número de empresas.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Remuneraciones.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Depreciaciones.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Formación bruta de capital fijo</w:t>
            </w:r>
          </w:p>
        </w:tc>
        <w:tc>
          <w:tcPr>
            <w:tcW w:w="1055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2093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B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Personal ocupado, horas trabajadas, sueldos y salarios pagados, según secciones (CIIU 4ta. Rev.) de actividad económica,  tamaño de empresa y grupo de ocupación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-Detalle de las 17 Actividades económicas investigadas.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hombres.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mujeres.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normales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extras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horas trabajadas en el mes de noviembre.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hombres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mujeres.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sueldos y salarios pagados en el mes de noviembre.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S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423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sz w:val="12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C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Personal ocupado, horas trabajadas, sueldos y salarios pagados, según grupo de ocupación (CIUO 08. Rev.)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-Grupos de Ocupación (CIUO 08)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- 1. Directores y Gerentes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 Profesionales Científicos e Intelectuales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- 3. Técnicos y Profesionales de nivel medio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- 4. Personal de Apoyo Administrativo / Empleados de Oficina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- 5. Trabajadores de los Servicios y Vendedores de Comercios y Mercados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- 6. Agricultores y Trabajadores Calificados Agropecuarios, Forestales y Pesqueros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- 7. Oficiales, Operarios y Artesanos de artes Mecánicas y de 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otros oficios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- 8. Operadores de Instalaciones y Máquinas y Ensambladores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- 9. Trabajadores no calificados, Ocupaciones elementales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Total hombres.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mujeres.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normales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horas extras trabajadas en el mes de noviembre.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horas trabajadas en el mes de noviembre.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hombres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mujeres.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sueldos y salarios pagados en el mes de noviembre.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S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423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lastRenderedPageBreak/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3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3 B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Remuneraciones, según secciones (CIIU 4ta. Rev.), de actividad económica y tamaño de empresa (valores en dólares)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costo y gasto de sueldos, salarios y demás remuneraciones que constituyen materia gravada del IESS.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costo y gasto en beneficios sociales, indemnizaciones y otras remuneraciones que no constituyen materia gravada del IESS.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Total costo y gasto del aporte a la seguridad social (incluye fondo de reserva)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Otras remuneraciones.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2456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4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4 B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Producción total,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Ventas netas de bienes producidos por la empresa.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 de bienes comercializados por la empresa.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Ventas netas de servicios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Otros ingresos por servicios y no operacionales.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Compras netas de mercaderías.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Variación de existencias de artículos producidos para la venta.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Variación de existencias de artículos para la venta sin transformación (Mercaderías).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construcciones de activos fijos por cuenta propia.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1474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5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5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Consumo intermedio,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insumos.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Materia prima utilizada.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Suministros, herramientas, materiales y repuestos.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Gastos operacionales.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Otros gastos operacionales.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575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6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6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 xml:space="preserve">Valor y cantidad de los combustibles y lubricantes consumidos, según secciones (CIIU 4ta. Rev.), de actividad económica y tamaño de empresa </w:t>
            </w:r>
            <w:r w:rsidRPr="00E972A7">
              <w:rPr>
                <w:sz w:val="14"/>
                <w:szCs w:val="14"/>
              </w:rPr>
              <w:lastRenderedPageBreak/>
              <w:t xml:space="preserve">(valores en dólares). 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 xml:space="preserve">Valor total de combustibles y lubricantes.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gasolina súper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gasolina 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súper.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gasolina extra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gasolina extra.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jet fuel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jet fuel.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diésel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diésel.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 licuado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glp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 (Kilogramos).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 licuado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glp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 natural.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 natural (Millones BTU).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residuo fuel oíl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residuo fuel oíl.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crudo residual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crudo residual.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carbón (kilogramos).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carbón.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Cantidad de gasolina 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ecopaís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gasolina 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ecopaís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aceites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aceites.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de otros combustibles y lubricantes.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lastRenderedPageBreak/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862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lastRenderedPageBreak/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7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7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Valor y cantidad de energía eléctrica,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total de energía eléctrica.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energía eléctrica producida y consumida.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energía eléctrica comprada por red pública.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total de agua.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agua comprada o concesionada de red pública.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agua comprada por tanquero.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agua concesionada de fuente natural.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energía eléctrica producida y consumida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kwh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energía eléctrica comprada por red pública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kwh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agua comprada por red pública (m3).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agua comprada por tanquero (m3).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Cantidad de agua 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concesionada de fuente natural (m3).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lastRenderedPageBreak/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1766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lastRenderedPageBreak/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8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8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Indicadores de relación, según secciones (CIIU 4ta. Rev.), de actividad económica y tamaño de empresa (valores en dólares).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hora trabajada.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agregado por hora trabajada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energía.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agua.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1006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9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9 B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Serie histórica de variables económicas, según secciones (CIIU 4ta. Rev.) de actividad económica y tamaño de empresa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Años: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Número de empresas.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Remuneraciones.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Formación bruta de capital fijo.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- 2016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- 2017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- 2018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- 2019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3D731A">
        <w:trPr>
          <w:trHeight w:val="1141"/>
        </w:trPr>
        <w:tc>
          <w:tcPr>
            <w:tcW w:w="983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10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10 B</w:t>
            </w:r>
          </w:p>
        </w:tc>
        <w:tc>
          <w:tcPr>
            <w:tcW w:w="1966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Serie histórica de indicadores de relación, según secciones (CIIU 4ta. Rev.) de actividad económica y tamaño de empresa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Años:</w:t>
            </w:r>
          </w:p>
        </w:tc>
        <w:tc>
          <w:tcPr>
            <w:tcW w:w="182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hora trabajada.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agregado por hora trabajada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energía.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Intensidad del uso de agua.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- 2016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- 2017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- 2018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- 2019</w:t>
            </w:r>
          </w:p>
        </w:tc>
        <w:tc>
          <w:tcPr>
            <w:tcW w:w="105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2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</w:tbl>
    <w:p w:rsidR="0001473C" w:rsidRPr="00E972A7" w:rsidRDefault="0001473C" w:rsidP="0001473C">
      <w:pPr>
        <w:spacing w:after="0"/>
        <w:ind w:right="4"/>
        <w:rPr>
          <w:rFonts w:cs="Calibri"/>
          <w:sz w:val="16"/>
          <w:szCs w:val="16"/>
        </w:rPr>
      </w:pPr>
      <w:r w:rsidRPr="00E972A7">
        <w:rPr>
          <w:rFonts w:cs="Calibri"/>
          <w:b/>
          <w:sz w:val="16"/>
          <w:szCs w:val="16"/>
        </w:rPr>
        <w:t xml:space="preserve">Fuente: </w:t>
      </w:r>
      <w:r w:rsidRPr="00E972A7">
        <w:rPr>
          <w:rFonts w:cs="Calibri"/>
          <w:sz w:val="16"/>
          <w:szCs w:val="16"/>
        </w:rPr>
        <w:t>Instituto Nacional de Estadística y Censos (INEC) – Encuesta Estr</w:t>
      </w:r>
      <w:r w:rsidR="00BF2676">
        <w:rPr>
          <w:rFonts w:cs="Calibri"/>
          <w:sz w:val="16"/>
          <w:szCs w:val="16"/>
        </w:rPr>
        <w:t>uctural Empresarial (ENESEM 2021</w:t>
      </w:r>
      <w:bookmarkStart w:id="2" w:name="_GoBack"/>
      <w:bookmarkEnd w:id="2"/>
      <w:r w:rsidRPr="00E972A7">
        <w:rPr>
          <w:rFonts w:cs="Calibri"/>
          <w:sz w:val="16"/>
          <w:szCs w:val="16"/>
        </w:rPr>
        <w:t>).</w:t>
      </w:r>
    </w:p>
    <w:p w:rsidR="0001473C" w:rsidRDefault="0001473C" w:rsidP="0001473C">
      <w:pPr>
        <w:pStyle w:val="Sinespaciado"/>
        <w:spacing w:line="240" w:lineRule="auto"/>
        <w:rPr>
          <w:b w:val="0"/>
          <w:bCs w:val="0"/>
          <w:color w:val="6E6E7C"/>
          <w:sz w:val="16"/>
          <w:szCs w:val="16"/>
        </w:rPr>
      </w:pPr>
      <w:r w:rsidRPr="00E972A7">
        <w:rPr>
          <w:color w:val="6E6E7C"/>
          <w:sz w:val="16"/>
          <w:szCs w:val="16"/>
        </w:rPr>
        <w:t xml:space="preserve">Elaboración: </w:t>
      </w:r>
      <w:r w:rsidRPr="00E972A7">
        <w:rPr>
          <w:b w:val="0"/>
          <w:bCs w:val="0"/>
          <w:color w:val="6E6E7C"/>
          <w:sz w:val="16"/>
          <w:szCs w:val="16"/>
        </w:rPr>
        <w:t xml:space="preserve">Gestión de Estadísticas Estructurales (GESE) </w:t>
      </w:r>
    </w:p>
    <w:p w:rsidR="00AA15C6" w:rsidRDefault="00AA15C6"/>
    <w:sectPr w:rsidR="00AA15C6" w:rsidSect="00DE205B">
      <w:pgSz w:w="11906" w:h="16838" w:code="9"/>
      <w:pgMar w:top="1418" w:right="1701" w:bottom="1418" w:left="1701" w:header="709" w:footer="709" w:gutter="0"/>
      <w:paperSrc w:first="1284" w:other="1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E115B"/>
    <w:multiLevelType w:val="hybridMultilevel"/>
    <w:tmpl w:val="4D1CA2A2"/>
    <w:lvl w:ilvl="0" w:tplc="1996FB8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1996FB8A">
      <w:start w:val="2"/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3C"/>
    <w:rsid w:val="0001473C"/>
    <w:rsid w:val="00751EDD"/>
    <w:rsid w:val="008673C6"/>
    <w:rsid w:val="00AA15C6"/>
    <w:rsid w:val="00BF2676"/>
    <w:rsid w:val="00DC4CC3"/>
    <w:rsid w:val="00DE205B"/>
    <w:rsid w:val="00EA5F46"/>
    <w:rsid w:val="00ED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73C"/>
    <w:pPr>
      <w:jc w:val="both"/>
    </w:pPr>
    <w:rPr>
      <w:rFonts w:ascii="Century Gothic" w:hAnsi="Century Gothic"/>
      <w:iCs/>
      <w:color w:val="6E6E7C"/>
      <w:sz w:val="20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01473C"/>
    <w:pPr>
      <w:ind w:left="720"/>
      <w:contextualSpacing/>
    </w:pPr>
  </w:style>
  <w:style w:type="character" w:customStyle="1" w:styleId="PrrafodelistaCar">
    <w:name w:val="Párrafo de lista Car"/>
    <w:aliases w:val="Capítulo Car"/>
    <w:link w:val="Prrafodelista"/>
    <w:uiPriority w:val="34"/>
    <w:rsid w:val="0001473C"/>
    <w:rPr>
      <w:rFonts w:ascii="Century Gothic" w:hAnsi="Century Gothic"/>
      <w:iCs/>
      <w:color w:val="6E6E7C"/>
      <w:sz w:val="20"/>
      <w:lang w:val="es-EC"/>
    </w:rPr>
  </w:style>
  <w:style w:type="character" w:styleId="Hipervnculo">
    <w:name w:val="Hyperlink"/>
    <w:basedOn w:val="Fuentedeprrafopredeter"/>
    <w:uiPriority w:val="99"/>
    <w:unhideWhenUsed/>
    <w:rsid w:val="0001473C"/>
    <w:rPr>
      <w:color w:val="0000FF"/>
      <w:u w:val="single"/>
    </w:rPr>
  </w:style>
  <w:style w:type="paragraph" w:styleId="Sinespaciado">
    <w:name w:val="No Spacing"/>
    <w:uiPriority w:val="1"/>
    <w:qFormat/>
    <w:rsid w:val="0001473C"/>
    <w:pPr>
      <w:spacing w:after="160" w:line="259" w:lineRule="auto"/>
    </w:pPr>
    <w:rPr>
      <w:rFonts w:ascii="Century Gothic" w:hAnsi="Century Gothic"/>
      <w:b/>
      <w:bCs/>
      <w:iCs/>
      <w:color w:val="595959" w:themeColor="text1" w:themeTint="A6"/>
      <w:sz w:val="24"/>
      <w:lang w:val="es-EC"/>
    </w:rPr>
  </w:style>
  <w:style w:type="paragraph" w:styleId="Epgrafe">
    <w:name w:val="caption"/>
    <w:aliases w:val="Arial"/>
    <w:basedOn w:val="Normal"/>
    <w:next w:val="Normal"/>
    <w:uiPriority w:val="35"/>
    <w:unhideWhenUsed/>
    <w:qFormat/>
    <w:rsid w:val="0001473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73C"/>
    <w:pPr>
      <w:jc w:val="both"/>
    </w:pPr>
    <w:rPr>
      <w:rFonts w:ascii="Century Gothic" w:hAnsi="Century Gothic"/>
      <w:iCs/>
      <w:color w:val="6E6E7C"/>
      <w:sz w:val="20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01473C"/>
    <w:pPr>
      <w:ind w:left="720"/>
      <w:contextualSpacing/>
    </w:pPr>
  </w:style>
  <w:style w:type="character" w:customStyle="1" w:styleId="PrrafodelistaCar">
    <w:name w:val="Párrafo de lista Car"/>
    <w:aliases w:val="Capítulo Car"/>
    <w:link w:val="Prrafodelista"/>
    <w:uiPriority w:val="34"/>
    <w:rsid w:val="0001473C"/>
    <w:rPr>
      <w:rFonts w:ascii="Century Gothic" w:hAnsi="Century Gothic"/>
      <w:iCs/>
      <w:color w:val="6E6E7C"/>
      <w:sz w:val="20"/>
      <w:lang w:val="es-EC"/>
    </w:rPr>
  </w:style>
  <w:style w:type="character" w:styleId="Hipervnculo">
    <w:name w:val="Hyperlink"/>
    <w:basedOn w:val="Fuentedeprrafopredeter"/>
    <w:uiPriority w:val="99"/>
    <w:unhideWhenUsed/>
    <w:rsid w:val="0001473C"/>
    <w:rPr>
      <w:color w:val="0000FF"/>
      <w:u w:val="single"/>
    </w:rPr>
  </w:style>
  <w:style w:type="paragraph" w:styleId="Sinespaciado">
    <w:name w:val="No Spacing"/>
    <w:uiPriority w:val="1"/>
    <w:qFormat/>
    <w:rsid w:val="0001473C"/>
    <w:pPr>
      <w:spacing w:after="160" w:line="259" w:lineRule="auto"/>
    </w:pPr>
    <w:rPr>
      <w:rFonts w:ascii="Century Gothic" w:hAnsi="Century Gothic"/>
      <w:b/>
      <w:bCs/>
      <w:iCs/>
      <w:color w:val="595959" w:themeColor="text1" w:themeTint="A6"/>
      <w:sz w:val="24"/>
      <w:lang w:val="es-EC"/>
    </w:rPr>
  </w:style>
  <w:style w:type="paragraph" w:styleId="Epgrafe">
    <w:name w:val="caption"/>
    <w:aliases w:val="Arial"/>
    <w:basedOn w:val="Normal"/>
    <w:next w:val="Normal"/>
    <w:uiPriority w:val="35"/>
    <w:unhideWhenUsed/>
    <w:qFormat/>
    <w:rsid w:val="0001473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1739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Jenny Borja</dc:creator>
  <cp:lastModifiedBy>INEC Jenny Borja</cp:lastModifiedBy>
  <cp:revision>3</cp:revision>
  <dcterms:created xsi:type="dcterms:W3CDTF">2022-04-05T15:54:00Z</dcterms:created>
  <dcterms:modified xsi:type="dcterms:W3CDTF">2022-07-13T19:20:00Z</dcterms:modified>
</cp:coreProperties>
</file>